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03FA" w14:textId="29D96A86" w:rsidR="00746C09" w:rsidRPr="00E754FF" w:rsidRDefault="00E754FF" w:rsidP="009A4EC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IMMEDIATE </w:t>
      </w:r>
      <w:r w:rsidRPr="00E754FF">
        <w:rPr>
          <w:rFonts w:ascii="Calibri" w:hAnsi="Calibri" w:cs="Calibri"/>
        </w:rPr>
        <w:t>RELEASE</w:t>
      </w:r>
    </w:p>
    <w:p w14:paraId="3C34FCCF" w14:textId="77777777" w:rsidR="006F1EA5" w:rsidRPr="00E754FF" w:rsidRDefault="006F1EA5" w:rsidP="00F65328">
      <w:pPr>
        <w:spacing w:line="276" w:lineRule="auto"/>
        <w:rPr>
          <w:rFonts w:ascii="Calibri" w:hAnsi="Calibri" w:cs="Calibri"/>
          <w:b/>
          <w:bCs/>
          <w:color w:val="C3AC8D"/>
          <w:sz w:val="40"/>
          <w:szCs w:val="40"/>
        </w:rPr>
      </w:pPr>
    </w:p>
    <w:p w14:paraId="04AAC5D9" w14:textId="77777777" w:rsidR="009750FD" w:rsidRPr="00E754FF" w:rsidRDefault="009750FD" w:rsidP="009750FD">
      <w:pPr>
        <w:jc w:val="center"/>
        <w:rPr>
          <w:rFonts w:ascii="Calibri" w:hAnsi="Calibri" w:cs="Calibri"/>
          <w:b/>
          <w:bCs/>
        </w:rPr>
      </w:pPr>
      <w:r w:rsidRPr="00E754FF">
        <w:rPr>
          <w:rFonts w:ascii="Calibri" w:hAnsi="Calibri" w:cs="Calibri"/>
          <w:b/>
          <w:bCs/>
        </w:rPr>
        <w:t xml:space="preserve">Funding loss could limit public access to </w:t>
      </w:r>
      <w:proofErr w:type="spellStart"/>
      <w:r w:rsidRPr="00E754FF">
        <w:rPr>
          <w:rFonts w:ascii="Calibri" w:hAnsi="Calibri" w:cs="Calibri"/>
          <w:b/>
          <w:bCs/>
        </w:rPr>
        <w:t>Te</w:t>
      </w:r>
      <w:proofErr w:type="spellEnd"/>
      <w:r w:rsidRPr="00E754FF">
        <w:rPr>
          <w:rFonts w:ascii="Calibri" w:hAnsi="Calibri" w:cs="Calibri"/>
          <w:b/>
          <w:bCs/>
        </w:rPr>
        <w:t xml:space="preserve"> Mata Park</w:t>
      </w:r>
    </w:p>
    <w:p w14:paraId="415F3DCB" w14:textId="77777777" w:rsidR="00BA0357" w:rsidRPr="00E754FF" w:rsidRDefault="00BA0357" w:rsidP="00EE32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516855B4" w14:textId="089EA348" w:rsidR="005D6B6A" w:rsidRPr="00E754FF" w:rsidRDefault="005D6B6A" w:rsidP="005D6B6A">
      <w:pPr>
        <w:pStyle w:val="paragraph"/>
        <w:textAlignment w:val="baseline"/>
        <w:rPr>
          <w:rFonts w:ascii="Calibri" w:hAnsi="Calibri" w:cs="Calibri"/>
          <w:color w:val="000000"/>
        </w:rPr>
      </w:pPr>
      <w:r w:rsidRPr="00E754FF">
        <w:rPr>
          <w:rFonts w:ascii="Calibri" w:hAnsi="Calibri" w:cs="Calibri"/>
          <w:color w:val="000000"/>
        </w:rPr>
        <w:t xml:space="preserve">The loss of vital funding from the Hawke’s Bay Regional Council will set </w:t>
      </w:r>
      <w:r w:rsidR="00704DC8" w:rsidRPr="00E754FF">
        <w:rPr>
          <w:rFonts w:ascii="Calibri" w:hAnsi="Calibri" w:cs="Calibri"/>
          <w:color w:val="000000"/>
        </w:rPr>
        <w:t xml:space="preserve">Te Mata Park </w:t>
      </w:r>
      <w:r w:rsidRPr="00E754FF">
        <w:rPr>
          <w:rFonts w:ascii="Calibri" w:hAnsi="Calibri" w:cs="Calibri"/>
          <w:color w:val="000000"/>
        </w:rPr>
        <w:t xml:space="preserve">back by a decade and will fail to protect the region’s most popular recreational and tourism asset. </w:t>
      </w:r>
    </w:p>
    <w:p w14:paraId="426220E0" w14:textId="51089573" w:rsidR="005D6B6A" w:rsidRPr="00E754FF" w:rsidRDefault="005D6B6A" w:rsidP="005D6B6A">
      <w:pPr>
        <w:pStyle w:val="paragraph"/>
        <w:textAlignment w:val="baseline"/>
        <w:rPr>
          <w:rFonts w:ascii="Calibri" w:hAnsi="Calibri" w:cs="Calibri"/>
          <w:color w:val="000000"/>
        </w:rPr>
      </w:pPr>
      <w:r w:rsidRPr="00E754FF">
        <w:rPr>
          <w:rFonts w:ascii="Calibri" w:hAnsi="Calibri" w:cs="Calibri"/>
          <w:color w:val="000000"/>
        </w:rPr>
        <w:t xml:space="preserve">The Hawke’s Bay Regional Council </w:t>
      </w:r>
      <w:r w:rsidR="00B81877" w:rsidRPr="00E754FF">
        <w:rPr>
          <w:rFonts w:ascii="Calibri" w:hAnsi="Calibri" w:cs="Calibri"/>
          <w:color w:val="000000"/>
        </w:rPr>
        <w:t>Long-Term Plan proposal</w:t>
      </w:r>
      <w:r w:rsidRPr="00E754FF">
        <w:rPr>
          <w:rFonts w:ascii="Calibri" w:hAnsi="Calibri" w:cs="Calibri"/>
          <w:color w:val="000000"/>
        </w:rPr>
        <w:t xml:space="preserve"> to pull its $120,000 </w:t>
      </w:r>
      <w:r w:rsidR="00B81877" w:rsidRPr="00E754FF">
        <w:rPr>
          <w:rFonts w:ascii="Calibri" w:hAnsi="Calibri" w:cs="Calibri"/>
          <w:color w:val="000000"/>
        </w:rPr>
        <w:t xml:space="preserve">a year </w:t>
      </w:r>
      <w:r w:rsidR="00704DC8" w:rsidRPr="00E754FF">
        <w:rPr>
          <w:rFonts w:ascii="Calibri" w:hAnsi="Calibri" w:cs="Calibri"/>
          <w:color w:val="000000"/>
        </w:rPr>
        <w:t>Park maintenance</w:t>
      </w:r>
      <w:r w:rsidR="00B81877" w:rsidRPr="00E754FF">
        <w:rPr>
          <w:rFonts w:ascii="Calibri" w:hAnsi="Calibri" w:cs="Calibri"/>
          <w:color w:val="000000"/>
        </w:rPr>
        <w:t xml:space="preserve"> </w:t>
      </w:r>
      <w:r w:rsidRPr="00E754FF">
        <w:rPr>
          <w:rFonts w:ascii="Calibri" w:hAnsi="Calibri" w:cs="Calibri"/>
          <w:color w:val="000000"/>
        </w:rPr>
        <w:t xml:space="preserve">funding </w:t>
      </w:r>
      <w:r w:rsidR="00B81877" w:rsidRPr="00E754FF">
        <w:rPr>
          <w:rFonts w:ascii="Calibri" w:hAnsi="Calibri" w:cs="Calibri"/>
          <w:color w:val="000000"/>
        </w:rPr>
        <w:t>will see</w:t>
      </w:r>
      <w:r w:rsidRPr="00E754FF">
        <w:rPr>
          <w:rFonts w:ascii="Calibri" w:hAnsi="Calibri" w:cs="Calibri"/>
          <w:color w:val="000000"/>
        </w:rPr>
        <w:t xml:space="preserve"> </w:t>
      </w:r>
      <w:proofErr w:type="spellStart"/>
      <w:r w:rsidRPr="00E754FF">
        <w:rPr>
          <w:rFonts w:ascii="Calibri" w:hAnsi="Calibri" w:cs="Calibri"/>
          <w:color w:val="000000"/>
        </w:rPr>
        <w:t>Te</w:t>
      </w:r>
      <w:proofErr w:type="spellEnd"/>
      <w:r w:rsidRPr="00E754FF">
        <w:rPr>
          <w:rFonts w:ascii="Calibri" w:hAnsi="Calibri" w:cs="Calibri"/>
          <w:color w:val="000000"/>
        </w:rPr>
        <w:t xml:space="preserve"> Mata Park Trust launch a ‘</w:t>
      </w:r>
      <w:r w:rsidR="00B81877" w:rsidRPr="00E754FF">
        <w:rPr>
          <w:rFonts w:ascii="Calibri" w:hAnsi="Calibri" w:cs="Calibri"/>
          <w:color w:val="000000"/>
        </w:rPr>
        <w:t>P</w:t>
      </w:r>
      <w:r w:rsidRPr="00E754FF">
        <w:rPr>
          <w:rFonts w:ascii="Calibri" w:hAnsi="Calibri" w:cs="Calibri"/>
          <w:color w:val="000000"/>
        </w:rPr>
        <w:t xml:space="preserve">rotect the </w:t>
      </w:r>
      <w:r w:rsidR="00B81877" w:rsidRPr="00E754FF">
        <w:rPr>
          <w:rFonts w:ascii="Calibri" w:hAnsi="Calibri" w:cs="Calibri"/>
          <w:color w:val="000000"/>
        </w:rPr>
        <w:t xml:space="preserve">Peak’ </w:t>
      </w:r>
      <w:r w:rsidRPr="00E754FF">
        <w:rPr>
          <w:rFonts w:ascii="Calibri" w:hAnsi="Calibri" w:cs="Calibri"/>
          <w:color w:val="000000"/>
        </w:rPr>
        <w:t>campaign</w:t>
      </w:r>
      <w:r w:rsidR="00B81877" w:rsidRPr="00E754FF">
        <w:rPr>
          <w:rFonts w:ascii="Calibri" w:hAnsi="Calibri" w:cs="Calibri"/>
          <w:color w:val="000000"/>
        </w:rPr>
        <w:t xml:space="preserve"> next week</w:t>
      </w:r>
      <w:r w:rsidRPr="00E754FF">
        <w:rPr>
          <w:rFonts w:ascii="Calibri" w:hAnsi="Calibri" w:cs="Calibri"/>
          <w:color w:val="000000"/>
        </w:rPr>
        <w:t>.</w:t>
      </w:r>
    </w:p>
    <w:p w14:paraId="50EEFE19" w14:textId="02826E06" w:rsidR="005D6B6A" w:rsidRPr="00E754FF" w:rsidRDefault="005D6B6A" w:rsidP="005D6B6A">
      <w:pPr>
        <w:pStyle w:val="paragraph"/>
        <w:textAlignment w:val="baseline"/>
        <w:rPr>
          <w:rFonts w:ascii="Calibri" w:hAnsi="Calibri" w:cs="Calibri"/>
          <w:color w:val="000000"/>
        </w:rPr>
      </w:pPr>
      <w:r w:rsidRPr="00E754FF">
        <w:rPr>
          <w:rFonts w:ascii="Calibri" w:hAnsi="Calibri" w:cs="Calibri"/>
          <w:color w:val="000000"/>
        </w:rPr>
        <w:t xml:space="preserve">Te Mata Park Trust </w:t>
      </w:r>
      <w:r w:rsidR="00B81877" w:rsidRPr="00E754FF">
        <w:rPr>
          <w:rFonts w:ascii="Calibri" w:hAnsi="Calibri" w:cs="Calibri"/>
          <w:color w:val="000000"/>
        </w:rPr>
        <w:t>C</w:t>
      </w:r>
      <w:r w:rsidRPr="00E754FF">
        <w:rPr>
          <w:rFonts w:ascii="Calibri" w:hAnsi="Calibri" w:cs="Calibri"/>
          <w:color w:val="000000"/>
        </w:rPr>
        <w:t xml:space="preserve">hair Mike Devonshire said the huge growth in use of the </w:t>
      </w:r>
      <w:r w:rsidR="00B81877" w:rsidRPr="00E754FF">
        <w:rPr>
          <w:rFonts w:ascii="Calibri" w:hAnsi="Calibri" w:cs="Calibri"/>
          <w:color w:val="000000"/>
        </w:rPr>
        <w:t>P</w:t>
      </w:r>
      <w:r w:rsidRPr="00E754FF">
        <w:rPr>
          <w:rFonts w:ascii="Calibri" w:hAnsi="Calibri" w:cs="Calibri"/>
          <w:color w:val="000000"/>
        </w:rPr>
        <w:t>ark requires more funding, not less. Over 1 million visitors explore Te Mata</w:t>
      </w:r>
      <w:r w:rsidR="00B81877" w:rsidRPr="00E754FF">
        <w:rPr>
          <w:rFonts w:ascii="Calibri" w:hAnsi="Calibri" w:cs="Calibri"/>
          <w:color w:val="000000"/>
        </w:rPr>
        <w:t xml:space="preserve"> Park</w:t>
      </w:r>
      <w:r w:rsidRPr="00E754FF">
        <w:rPr>
          <w:rFonts w:ascii="Calibri" w:hAnsi="Calibri" w:cs="Calibri"/>
          <w:color w:val="000000"/>
        </w:rPr>
        <w:t xml:space="preserve"> every year and</w:t>
      </w:r>
      <w:r w:rsidR="00655F1D" w:rsidRPr="00E754FF">
        <w:rPr>
          <w:rFonts w:ascii="Calibri" w:hAnsi="Calibri" w:cs="Calibri"/>
          <w:color w:val="000000"/>
        </w:rPr>
        <w:t xml:space="preserve"> since 2018 the </w:t>
      </w:r>
      <w:r w:rsidRPr="00E754FF">
        <w:rPr>
          <w:rFonts w:ascii="Calibri" w:hAnsi="Calibri" w:cs="Calibri"/>
          <w:color w:val="000000"/>
        </w:rPr>
        <w:t xml:space="preserve"> Park </w:t>
      </w:r>
      <w:r w:rsidR="00655F1D" w:rsidRPr="00E754FF">
        <w:rPr>
          <w:rFonts w:ascii="Calibri" w:hAnsi="Calibri" w:cs="Calibri"/>
          <w:color w:val="000000"/>
        </w:rPr>
        <w:t xml:space="preserve">has been </w:t>
      </w:r>
      <w:r w:rsidRPr="00E754FF">
        <w:rPr>
          <w:rFonts w:ascii="Calibri" w:hAnsi="Calibri" w:cs="Calibri"/>
          <w:color w:val="000000"/>
        </w:rPr>
        <w:t>awarded the highly coveted Green Flag international award for</w:t>
      </w:r>
      <w:r w:rsidR="00655F1D" w:rsidRPr="00E754FF">
        <w:rPr>
          <w:rFonts w:ascii="Calibri" w:hAnsi="Calibri" w:cs="Calibri"/>
          <w:color w:val="000000"/>
        </w:rPr>
        <w:t xml:space="preserve"> well managed parks and green spaces</w:t>
      </w:r>
      <w:r w:rsidR="00704DC8" w:rsidRPr="00E754FF">
        <w:rPr>
          <w:rFonts w:ascii="Calibri" w:hAnsi="Calibri" w:cs="Calibri"/>
          <w:color w:val="000000"/>
        </w:rPr>
        <w:t>,</w:t>
      </w:r>
      <w:r w:rsidR="00655F1D" w:rsidRPr="00E754FF">
        <w:rPr>
          <w:rFonts w:ascii="Calibri" w:hAnsi="Calibri" w:cs="Calibri"/>
          <w:color w:val="000000"/>
        </w:rPr>
        <w:t xml:space="preserve"> five times, </w:t>
      </w:r>
      <w:r w:rsidRPr="00E754FF">
        <w:rPr>
          <w:rFonts w:ascii="Calibri" w:hAnsi="Calibri" w:cs="Calibri"/>
          <w:color w:val="000000"/>
        </w:rPr>
        <w:t xml:space="preserve">ranking it one of the best </w:t>
      </w:r>
      <w:r w:rsidR="00655F1D" w:rsidRPr="00E754FF">
        <w:rPr>
          <w:rFonts w:ascii="Calibri" w:hAnsi="Calibri" w:cs="Calibri"/>
          <w:color w:val="000000"/>
        </w:rPr>
        <w:t xml:space="preserve">maintained and managed </w:t>
      </w:r>
      <w:r w:rsidRPr="00E754FF">
        <w:rPr>
          <w:rFonts w:ascii="Calibri" w:hAnsi="Calibri" w:cs="Calibri"/>
          <w:color w:val="000000"/>
        </w:rPr>
        <w:t xml:space="preserve">parks in the world.  </w:t>
      </w:r>
    </w:p>
    <w:p w14:paraId="675185A0" w14:textId="48344F1F" w:rsidR="005D6B6A" w:rsidRPr="00E754FF" w:rsidRDefault="005D6B6A" w:rsidP="005D6B6A">
      <w:pPr>
        <w:pStyle w:val="paragraph"/>
        <w:textAlignment w:val="baseline"/>
        <w:rPr>
          <w:rFonts w:ascii="Calibri" w:hAnsi="Calibri" w:cs="Calibri"/>
          <w:color w:val="000000"/>
        </w:rPr>
      </w:pPr>
      <w:r w:rsidRPr="00E754FF">
        <w:rPr>
          <w:rFonts w:ascii="Calibri" w:hAnsi="Calibri" w:cs="Calibri"/>
          <w:color w:val="000000"/>
        </w:rPr>
        <w:t xml:space="preserve">The </w:t>
      </w:r>
      <w:r w:rsidR="00B81877" w:rsidRPr="00E754FF">
        <w:rPr>
          <w:rFonts w:ascii="Calibri" w:hAnsi="Calibri" w:cs="Calibri"/>
          <w:color w:val="000000"/>
        </w:rPr>
        <w:t>T</w:t>
      </w:r>
      <w:r w:rsidRPr="00E754FF">
        <w:rPr>
          <w:rFonts w:ascii="Calibri" w:hAnsi="Calibri" w:cs="Calibri"/>
          <w:color w:val="000000"/>
        </w:rPr>
        <w:t>rus</w:t>
      </w:r>
      <w:r w:rsidR="00B81877" w:rsidRPr="00E754FF">
        <w:rPr>
          <w:rFonts w:ascii="Calibri" w:hAnsi="Calibri" w:cs="Calibri"/>
          <w:color w:val="000000"/>
        </w:rPr>
        <w:t>t</w:t>
      </w:r>
      <w:r w:rsidRPr="00E754FF">
        <w:rPr>
          <w:rFonts w:ascii="Calibri" w:hAnsi="Calibri" w:cs="Calibri"/>
          <w:color w:val="000000"/>
        </w:rPr>
        <w:t xml:space="preserve"> recently met with HBRC </w:t>
      </w:r>
      <w:r w:rsidR="00B81877" w:rsidRPr="00E754FF">
        <w:rPr>
          <w:rFonts w:ascii="Calibri" w:hAnsi="Calibri" w:cs="Calibri"/>
          <w:color w:val="000000"/>
        </w:rPr>
        <w:t>C</w:t>
      </w:r>
      <w:r w:rsidRPr="00E754FF">
        <w:rPr>
          <w:rFonts w:ascii="Calibri" w:hAnsi="Calibri" w:cs="Calibri"/>
          <w:color w:val="000000"/>
        </w:rPr>
        <w:t xml:space="preserve">hair </w:t>
      </w:r>
      <w:proofErr w:type="spellStart"/>
      <w:r w:rsidRPr="00E754FF">
        <w:rPr>
          <w:rFonts w:ascii="Calibri" w:hAnsi="Calibri" w:cs="Calibri"/>
          <w:color w:val="000000"/>
        </w:rPr>
        <w:t>Hinewai</w:t>
      </w:r>
      <w:proofErr w:type="spellEnd"/>
      <w:r w:rsidRPr="00E754FF">
        <w:rPr>
          <w:rFonts w:ascii="Calibri" w:hAnsi="Calibri" w:cs="Calibri"/>
          <w:color w:val="000000"/>
        </w:rPr>
        <w:t xml:space="preserve"> Ormsby and </w:t>
      </w:r>
      <w:r w:rsidR="00B81877" w:rsidRPr="00E754FF">
        <w:rPr>
          <w:rFonts w:ascii="Calibri" w:hAnsi="Calibri" w:cs="Calibri"/>
          <w:color w:val="000000"/>
        </w:rPr>
        <w:t>C</w:t>
      </w:r>
      <w:r w:rsidRPr="00E754FF">
        <w:rPr>
          <w:rFonts w:ascii="Calibri" w:hAnsi="Calibri" w:cs="Calibri"/>
          <w:color w:val="000000"/>
        </w:rPr>
        <w:t xml:space="preserve">hief </w:t>
      </w:r>
      <w:r w:rsidR="00B81877" w:rsidRPr="00E754FF">
        <w:rPr>
          <w:rFonts w:ascii="Calibri" w:hAnsi="Calibri" w:cs="Calibri"/>
          <w:color w:val="000000"/>
        </w:rPr>
        <w:t>E</w:t>
      </w:r>
      <w:r w:rsidRPr="00E754FF">
        <w:rPr>
          <w:rFonts w:ascii="Calibri" w:hAnsi="Calibri" w:cs="Calibri"/>
          <w:color w:val="000000"/>
        </w:rPr>
        <w:t xml:space="preserve">xecutive </w:t>
      </w:r>
      <w:r w:rsidR="00655F1D" w:rsidRPr="00E754FF">
        <w:rPr>
          <w:rFonts w:ascii="Calibri" w:hAnsi="Calibri" w:cs="Calibri"/>
          <w:color w:val="000000"/>
        </w:rPr>
        <w:t xml:space="preserve">Dr </w:t>
      </w:r>
      <w:r w:rsidRPr="00E754FF">
        <w:rPr>
          <w:rFonts w:ascii="Calibri" w:hAnsi="Calibri" w:cs="Calibri"/>
          <w:color w:val="000000"/>
        </w:rPr>
        <w:t xml:space="preserve">Nic Peet as well as presenting to </w:t>
      </w:r>
      <w:r w:rsidR="00655F1D" w:rsidRPr="00E754FF">
        <w:rPr>
          <w:rFonts w:ascii="Calibri" w:hAnsi="Calibri" w:cs="Calibri"/>
          <w:color w:val="000000"/>
        </w:rPr>
        <w:t xml:space="preserve">the HBRC Environmental and Integrated Catchments Committee </w:t>
      </w:r>
      <w:r w:rsidRPr="00E754FF">
        <w:rPr>
          <w:rFonts w:ascii="Calibri" w:hAnsi="Calibri" w:cs="Calibri"/>
          <w:color w:val="000000"/>
        </w:rPr>
        <w:t>with a plea to increase funding to $240,000.</w:t>
      </w:r>
    </w:p>
    <w:p w14:paraId="7D2A2EF2" w14:textId="0A860FAA" w:rsidR="005D6B6A" w:rsidRPr="00E754FF" w:rsidRDefault="00B81877" w:rsidP="005D6B6A">
      <w:pPr>
        <w:pStyle w:val="paragraph"/>
        <w:textAlignment w:val="baseline"/>
        <w:rPr>
          <w:rFonts w:ascii="Calibri" w:hAnsi="Calibri" w:cs="Calibri"/>
          <w:color w:val="000000"/>
        </w:rPr>
      </w:pPr>
      <w:r w:rsidRPr="00E754FF">
        <w:rPr>
          <w:rFonts w:ascii="Calibri" w:hAnsi="Calibri" w:cs="Calibri"/>
          <w:color w:val="000000"/>
        </w:rPr>
        <w:t xml:space="preserve">Devonshire said, </w:t>
      </w:r>
      <w:r w:rsidR="005D6B6A" w:rsidRPr="00E754FF">
        <w:rPr>
          <w:rFonts w:ascii="Calibri" w:hAnsi="Calibri" w:cs="Calibri"/>
          <w:color w:val="000000"/>
        </w:rPr>
        <w:t xml:space="preserve">“We’ve been blindsided by </w:t>
      </w:r>
      <w:r w:rsidRPr="00E754FF">
        <w:rPr>
          <w:rFonts w:ascii="Calibri" w:hAnsi="Calibri" w:cs="Calibri"/>
          <w:color w:val="000000"/>
        </w:rPr>
        <w:t xml:space="preserve">the HBRC’s </w:t>
      </w:r>
      <w:r w:rsidR="005D6B6A" w:rsidRPr="00E754FF">
        <w:rPr>
          <w:rFonts w:ascii="Calibri" w:hAnsi="Calibri" w:cs="Calibri"/>
          <w:color w:val="000000"/>
        </w:rPr>
        <w:t xml:space="preserve">preferred option to </w:t>
      </w:r>
      <w:r w:rsidRPr="00E754FF">
        <w:rPr>
          <w:rFonts w:ascii="Calibri" w:hAnsi="Calibri" w:cs="Calibri"/>
          <w:color w:val="000000"/>
        </w:rPr>
        <w:t xml:space="preserve">pull funding for </w:t>
      </w:r>
      <w:proofErr w:type="spellStart"/>
      <w:r w:rsidRPr="00E754FF">
        <w:rPr>
          <w:rFonts w:ascii="Calibri" w:hAnsi="Calibri" w:cs="Calibri"/>
          <w:color w:val="000000"/>
        </w:rPr>
        <w:t>Te</w:t>
      </w:r>
      <w:proofErr w:type="spellEnd"/>
      <w:r w:rsidRPr="00E754FF">
        <w:rPr>
          <w:rFonts w:ascii="Calibri" w:hAnsi="Calibri" w:cs="Calibri"/>
          <w:color w:val="000000"/>
        </w:rPr>
        <w:t xml:space="preserve"> Mata Park - t</w:t>
      </w:r>
      <w:r w:rsidR="005D6B6A" w:rsidRPr="00E754FF">
        <w:rPr>
          <w:rFonts w:ascii="Calibri" w:hAnsi="Calibri" w:cs="Calibri"/>
          <w:color w:val="000000"/>
        </w:rPr>
        <w:t>he jewel in the region’s crown</w:t>
      </w:r>
      <w:r w:rsidRPr="00E754FF">
        <w:rPr>
          <w:rFonts w:ascii="Calibri" w:hAnsi="Calibri" w:cs="Calibri"/>
          <w:color w:val="000000"/>
        </w:rPr>
        <w:t>.”</w:t>
      </w:r>
    </w:p>
    <w:p w14:paraId="04E18827" w14:textId="1A141969" w:rsidR="005D6B6A" w:rsidRPr="00E754FF" w:rsidRDefault="005D6B6A" w:rsidP="005D6B6A">
      <w:pPr>
        <w:pStyle w:val="paragraph"/>
        <w:textAlignment w:val="baseline"/>
        <w:rPr>
          <w:rFonts w:ascii="Calibri" w:hAnsi="Calibri" w:cs="Calibri"/>
          <w:color w:val="000000"/>
        </w:rPr>
      </w:pPr>
      <w:r w:rsidRPr="00E754FF">
        <w:rPr>
          <w:rFonts w:ascii="Calibri" w:hAnsi="Calibri" w:cs="Calibri"/>
          <w:color w:val="000000"/>
        </w:rPr>
        <w:t>“There’s no way we can lose $120,000 in funding</w:t>
      </w:r>
      <w:r w:rsidR="00655F1D" w:rsidRPr="00E754FF">
        <w:rPr>
          <w:rFonts w:ascii="Calibri" w:hAnsi="Calibri" w:cs="Calibri"/>
          <w:color w:val="000000"/>
        </w:rPr>
        <w:t xml:space="preserve">. We already need to try and find a third of our yearly operational funding, and this loss would mean we need </w:t>
      </w:r>
      <w:r w:rsidRPr="00E754FF">
        <w:rPr>
          <w:rFonts w:ascii="Calibri" w:hAnsi="Calibri" w:cs="Calibri"/>
          <w:color w:val="000000"/>
        </w:rPr>
        <w:t>to try and secure over 60% of our operational funding elsewhere. This is a huge ask</w:t>
      </w:r>
      <w:r w:rsidR="0076104F" w:rsidRPr="00E754FF">
        <w:rPr>
          <w:rFonts w:ascii="Calibri" w:hAnsi="Calibri" w:cs="Calibri"/>
          <w:color w:val="000000"/>
        </w:rPr>
        <w:t>. I</w:t>
      </w:r>
      <w:r w:rsidRPr="00E754FF">
        <w:rPr>
          <w:rFonts w:ascii="Calibri" w:hAnsi="Calibri" w:cs="Calibri"/>
          <w:color w:val="000000"/>
        </w:rPr>
        <w:t xml:space="preserve">t would be a backward step and unbundle all the investment that has gone into enhancing the </w:t>
      </w:r>
      <w:r w:rsidR="0076104F" w:rsidRPr="00E754FF">
        <w:rPr>
          <w:rFonts w:ascii="Calibri" w:hAnsi="Calibri" w:cs="Calibri"/>
          <w:color w:val="000000"/>
        </w:rPr>
        <w:t>P</w:t>
      </w:r>
      <w:r w:rsidRPr="00E754FF">
        <w:rPr>
          <w:rFonts w:ascii="Calibri" w:hAnsi="Calibri" w:cs="Calibri"/>
          <w:color w:val="000000"/>
        </w:rPr>
        <w:t>ark.</w:t>
      </w:r>
      <w:r w:rsidR="00B81877" w:rsidRPr="00E754FF">
        <w:rPr>
          <w:rFonts w:ascii="Calibri" w:hAnsi="Calibri" w:cs="Calibri"/>
          <w:color w:val="000000"/>
        </w:rPr>
        <w:t>”</w:t>
      </w:r>
    </w:p>
    <w:p w14:paraId="01DA1D47" w14:textId="5B916E72" w:rsidR="005D6B6A" w:rsidRPr="00E754FF" w:rsidRDefault="005D6B6A" w:rsidP="005D6B6A">
      <w:pPr>
        <w:pStyle w:val="paragraph"/>
        <w:textAlignment w:val="baseline"/>
        <w:rPr>
          <w:rFonts w:ascii="Calibri" w:hAnsi="Calibri" w:cs="Calibri"/>
          <w:color w:val="000000"/>
        </w:rPr>
      </w:pPr>
      <w:r w:rsidRPr="00E754FF">
        <w:rPr>
          <w:rFonts w:ascii="Calibri" w:hAnsi="Calibri" w:cs="Calibri"/>
          <w:color w:val="000000"/>
        </w:rPr>
        <w:t xml:space="preserve">He added that health </w:t>
      </w:r>
      <w:r w:rsidR="00B81877" w:rsidRPr="00E754FF">
        <w:rPr>
          <w:rFonts w:ascii="Calibri" w:hAnsi="Calibri" w:cs="Calibri"/>
          <w:color w:val="000000"/>
        </w:rPr>
        <w:t xml:space="preserve">and </w:t>
      </w:r>
      <w:r w:rsidRPr="00E754FF">
        <w:rPr>
          <w:rFonts w:ascii="Calibri" w:hAnsi="Calibri" w:cs="Calibri"/>
          <w:color w:val="000000"/>
        </w:rPr>
        <w:t xml:space="preserve">safety within the </w:t>
      </w:r>
      <w:r w:rsidR="00B81877" w:rsidRPr="00E754FF">
        <w:rPr>
          <w:rFonts w:ascii="Calibri" w:hAnsi="Calibri" w:cs="Calibri"/>
          <w:color w:val="000000"/>
        </w:rPr>
        <w:t>P</w:t>
      </w:r>
      <w:r w:rsidRPr="00E754FF">
        <w:rPr>
          <w:rFonts w:ascii="Calibri" w:hAnsi="Calibri" w:cs="Calibri"/>
          <w:color w:val="000000"/>
        </w:rPr>
        <w:t>ark would become a higher risk</w:t>
      </w:r>
      <w:r w:rsidR="00655F1D" w:rsidRPr="00E754FF">
        <w:rPr>
          <w:rFonts w:ascii="Calibri" w:hAnsi="Calibri" w:cs="Calibri"/>
          <w:color w:val="000000"/>
        </w:rPr>
        <w:t xml:space="preserve"> without regular maintenance</w:t>
      </w:r>
      <w:r w:rsidRPr="00E754FF">
        <w:rPr>
          <w:rFonts w:ascii="Calibri" w:hAnsi="Calibri" w:cs="Calibri"/>
          <w:color w:val="000000"/>
        </w:rPr>
        <w:t xml:space="preserve">, and therefore the trust </w:t>
      </w:r>
      <w:r w:rsidR="0076104F" w:rsidRPr="00E754FF">
        <w:rPr>
          <w:rFonts w:ascii="Calibri" w:hAnsi="Calibri" w:cs="Calibri"/>
          <w:color w:val="000000"/>
        </w:rPr>
        <w:t xml:space="preserve">may </w:t>
      </w:r>
      <w:r w:rsidRPr="00E754FF">
        <w:rPr>
          <w:rFonts w:ascii="Calibri" w:hAnsi="Calibri" w:cs="Calibri"/>
          <w:color w:val="000000"/>
        </w:rPr>
        <w:t xml:space="preserve">need to consider some form of closures. </w:t>
      </w:r>
    </w:p>
    <w:p w14:paraId="09A99749" w14:textId="754700E6" w:rsidR="005D6B6A" w:rsidRPr="00E754FF" w:rsidRDefault="005D6B6A" w:rsidP="005D6B6A">
      <w:pPr>
        <w:pStyle w:val="paragraph"/>
        <w:textAlignment w:val="baseline"/>
        <w:rPr>
          <w:rFonts w:ascii="Calibri" w:hAnsi="Calibri" w:cs="Calibri"/>
          <w:color w:val="000000"/>
        </w:rPr>
      </w:pPr>
      <w:r w:rsidRPr="00E754FF">
        <w:rPr>
          <w:rFonts w:ascii="Calibri" w:hAnsi="Calibri" w:cs="Calibri"/>
          <w:color w:val="000000"/>
        </w:rPr>
        <w:t>“We are a trust and we have a duty of care to uphold and I’m not sure if we want to any greater risk of health and safety due to a reduction in maintenance.</w:t>
      </w:r>
    </w:p>
    <w:p w14:paraId="691C489E" w14:textId="3FFA7090" w:rsidR="005D6B6A" w:rsidRPr="00E754FF" w:rsidRDefault="005D6B6A" w:rsidP="005D6B6A">
      <w:pPr>
        <w:pStyle w:val="paragraph"/>
        <w:textAlignment w:val="baseline"/>
        <w:rPr>
          <w:rFonts w:ascii="Calibri" w:hAnsi="Calibri" w:cs="Calibri"/>
          <w:color w:val="000000"/>
        </w:rPr>
      </w:pPr>
      <w:r w:rsidRPr="00E754FF">
        <w:rPr>
          <w:rFonts w:ascii="Calibri" w:hAnsi="Calibri" w:cs="Calibri"/>
          <w:color w:val="000000"/>
        </w:rPr>
        <w:t>“You only need to look at what happened with the cyclone. It had a huge impact on the park with many trees destroyed but we had the financial ability to quickly do some work clearing tracks and re-open in five days.</w:t>
      </w:r>
      <w:r w:rsidR="00655F1D" w:rsidRPr="00E754FF">
        <w:rPr>
          <w:rFonts w:ascii="Calibri" w:hAnsi="Calibri" w:cs="Calibri"/>
          <w:color w:val="000000"/>
        </w:rPr>
        <w:t xml:space="preserve"> </w:t>
      </w:r>
    </w:p>
    <w:p w14:paraId="0542B782" w14:textId="2CA4C5DC" w:rsidR="005D6B6A" w:rsidRPr="00E754FF" w:rsidRDefault="005D6B6A" w:rsidP="005D6B6A">
      <w:pPr>
        <w:pStyle w:val="paragraph"/>
        <w:textAlignment w:val="baseline"/>
        <w:rPr>
          <w:rFonts w:ascii="Calibri" w:hAnsi="Calibri" w:cs="Calibri"/>
          <w:color w:val="000000"/>
        </w:rPr>
      </w:pPr>
      <w:r w:rsidRPr="00E754FF">
        <w:rPr>
          <w:rFonts w:ascii="Calibri" w:hAnsi="Calibri" w:cs="Calibri"/>
          <w:color w:val="000000"/>
        </w:rPr>
        <w:t xml:space="preserve">Mr Devonshire said cutting Te Mata Park funding will </w:t>
      </w:r>
      <w:r w:rsidR="0076104F" w:rsidRPr="00E754FF">
        <w:rPr>
          <w:rFonts w:ascii="Calibri" w:hAnsi="Calibri" w:cs="Calibri"/>
          <w:color w:val="000000"/>
        </w:rPr>
        <w:t>have a miniscule</w:t>
      </w:r>
      <w:r w:rsidRPr="00E754FF">
        <w:rPr>
          <w:rFonts w:ascii="Calibri" w:hAnsi="Calibri" w:cs="Calibri"/>
          <w:color w:val="000000"/>
        </w:rPr>
        <w:t xml:space="preserve"> impact on rates and he believed both ratepayers and all 184,000 residents would support investing less than $1 each to protect the </w:t>
      </w:r>
      <w:r w:rsidR="00655F1D" w:rsidRPr="00E754FF">
        <w:rPr>
          <w:rFonts w:ascii="Calibri" w:hAnsi="Calibri" w:cs="Calibri"/>
          <w:color w:val="000000"/>
        </w:rPr>
        <w:t>P</w:t>
      </w:r>
      <w:r w:rsidRPr="00E754FF">
        <w:rPr>
          <w:rFonts w:ascii="Calibri" w:hAnsi="Calibri" w:cs="Calibri"/>
          <w:color w:val="000000"/>
        </w:rPr>
        <w:t>ark</w:t>
      </w:r>
      <w:r w:rsidR="00655F1D" w:rsidRPr="00E754FF">
        <w:rPr>
          <w:rFonts w:ascii="Calibri" w:hAnsi="Calibri" w:cs="Calibri"/>
          <w:color w:val="000000"/>
        </w:rPr>
        <w:t xml:space="preserve"> annually</w:t>
      </w:r>
      <w:r w:rsidRPr="00E754FF">
        <w:rPr>
          <w:rFonts w:ascii="Calibri" w:hAnsi="Calibri" w:cs="Calibri"/>
          <w:color w:val="000000"/>
        </w:rPr>
        <w:t>.</w:t>
      </w:r>
    </w:p>
    <w:p w14:paraId="03100247" w14:textId="77777777" w:rsidR="009750FD" w:rsidRPr="00E754FF" w:rsidRDefault="009750FD" w:rsidP="005D6B6A">
      <w:pPr>
        <w:pStyle w:val="paragraph"/>
        <w:textAlignment w:val="baseline"/>
        <w:rPr>
          <w:rFonts w:ascii="Calibri" w:hAnsi="Calibri" w:cs="Calibri"/>
          <w:color w:val="000000"/>
        </w:rPr>
      </w:pPr>
    </w:p>
    <w:p w14:paraId="1E59AED5" w14:textId="77777777" w:rsidR="009750FD" w:rsidRPr="00E754FF" w:rsidRDefault="009750FD" w:rsidP="005D6B6A">
      <w:pPr>
        <w:pStyle w:val="paragraph"/>
        <w:textAlignment w:val="baseline"/>
        <w:rPr>
          <w:rFonts w:ascii="Calibri" w:hAnsi="Calibri" w:cs="Calibri"/>
          <w:color w:val="000000"/>
        </w:rPr>
      </w:pPr>
    </w:p>
    <w:p w14:paraId="782C2AE8" w14:textId="77777777" w:rsidR="009750FD" w:rsidRPr="00E754FF" w:rsidRDefault="009750FD" w:rsidP="005D6B6A">
      <w:pPr>
        <w:pStyle w:val="paragraph"/>
        <w:textAlignment w:val="baseline"/>
        <w:rPr>
          <w:rFonts w:ascii="Calibri" w:hAnsi="Calibri" w:cs="Calibri"/>
          <w:color w:val="000000"/>
        </w:rPr>
      </w:pPr>
    </w:p>
    <w:p w14:paraId="6CB08E69" w14:textId="77777777" w:rsidR="00B54F08" w:rsidRDefault="00B54F08" w:rsidP="005D6B6A">
      <w:pPr>
        <w:pStyle w:val="paragraph"/>
        <w:textAlignment w:val="baseline"/>
        <w:rPr>
          <w:rFonts w:ascii="Calibri" w:hAnsi="Calibri" w:cs="Calibri"/>
          <w:color w:val="000000"/>
        </w:rPr>
      </w:pPr>
    </w:p>
    <w:p w14:paraId="6B869A1D" w14:textId="249113C7" w:rsidR="005D6B6A" w:rsidRPr="00E754FF" w:rsidRDefault="005D6B6A" w:rsidP="005D6B6A">
      <w:pPr>
        <w:pStyle w:val="paragraph"/>
        <w:textAlignment w:val="baseline"/>
        <w:rPr>
          <w:rFonts w:ascii="Calibri" w:hAnsi="Calibri" w:cs="Calibri"/>
          <w:color w:val="000000"/>
        </w:rPr>
      </w:pPr>
      <w:r w:rsidRPr="00E754FF">
        <w:rPr>
          <w:rFonts w:ascii="Calibri" w:hAnsi="Calibri" w:cs="Calibri"/>
          <w:color w:val="000000"/>
        </w:rPr>
        <w:t>“</w:t>
      </w:r>
      <w:r w:rsidR="0076104F" w:rsidRPr="00E754FF">
        <w:rPr>
          <w:rFonts w:ascii="Calibri" w:hAnsi="Calibri" w:cs="Calibri"/>
          <w:color w:val="000000"/>
        </w:rPr>
        <w:t>At the current HBRC funding level, i</w:t>
      </w:r>
      <w:r w:rsidRPr="00E754FF">
        <w:rPr>
          <w:rFonts w:ascii="Calibri" w:hAnsi="Calibri" w:cs="Calibri"/>
          <w:color w:val="000000"/>
        </w:rPr>
        <w:t xml:space="preserve">t’s 65 cents </w:t>
      </w:r>
      <w:r w:rsidR="0076104F" w:rsidRPr="00E754FF">
        <w:rPr>
          <w:rFonts w:ascii="Calibri" w:hAnsi="Calibri" w:cs="Calibri"/>
          <w:color w:val="000000"/>
        </w:rPr>
        <w:t>per</w:t>
      </w:r>
      <w:r w:rsidRPr="00E754FF">
        <w:rPr>
          <w:rFonts w:ascii="Calibri" w:hAnsi="Calibri" w:cs="Calibri"/>
          <w:color w:val="000000"/>
        </w:rPr>
        <w:t xml:space="preserve"> resident</w:t>
      </w:r>
      <w:r w:rsidR="0076104F" w:rsidRPr="00E754FF">
        <w:rPr>
          <w:rFonts w:ascii="Calibri" w:hAnsi="Calibri" w:cs="Calibri"/>
          <w:color w:val="000000"/>
        </w:rPr>
        <w:t xml:space="preserve"> per year</w:t>
      </w:r>
      <w:r w:rsidRPr="00E754FF">
        <w:rPr>
          <w:rFonts w:ascii="Calibri" w:hAnsi="Calibri" w:cs="Calibri"/>
          <w:color w:val="000000"/>
        </w:rPr>
        <w:t xml:space="preserve"> to look after the </w:t>
      </w:r>
      <w:r w:rsidR="0076104F" w:rsidRPr="00E754FF">
        <w:rPr>
          <w:rFonts w:ascii="Calibri" w:hAnsi="Calibri" w:cs="Calibri"/>
          <w:color w:val="000000"/>
        </w:rPr>
        <w:t xml:space="preserve">Park </w:t>
      </w:r>
      <w:r w:rsidRPr="00E754FF">
        <w:rPr>
          <w:rFonts w:ascii="Calibri" w:hAnsi="Calibri" w:cs="Calibri"/>
          <w:color w:val="000000"/>
        </w:rPr>
        <w:t>to its current standard and we think it should be $1.30, which will cover the cost of two fulltime maintenance contractors.</w:t>
      </w:r>
    </w:p>
    <w:p w14:paraId="5B2CF83A" w14:textId="77777777" w:rsidR="009750FD" w:rsidRPr="00E754FF" w:rsidRDefault="005D6B6A" w:rsidP="005D6B6A">
      <w:pPr>
        <w:pStyle w:val="paragraph"/>
        <w:textAlignment w:val="baseline"/>
        <w:rPr>
          <w:rFonts w:ascii="Calibri" w:hAnsi="Calibri" w:cs="Calibri"/>
          <w:color w:val="000000"/>
        </w:rPr>
      </w:pPr>
      <w:r w:rsidRPr="00E754FF">
        <w:rPr>
          <w:rFonts w:ascii="Calibri" w:hAnsi="Calibri" w:cs="Calibri"/>
          <w:color w:val="000000"/>
          <w:lang w:val="mi-NZ"/>
        </w:rPr>
        <w:t>Key projects over recent years include purchasing addional land,</w:t>
      </w:r>
      <w:r w:rsidR="0076104F" w:rsidRPr="00E754FF">
        <w:rPr>
          <w:rFonts w:ascii="Calibri" w:hAnsi="Calibri" w:cs="Calibri"/>
          <w:color w:val="000000"/>
          <w:lang w:val="mi-NZ"/>
        </w:rPr>
        <w:t xml:space="preserve"> </w:t>
      </w:r>
      <w:r w:rsidRPr="00E754FF">
        <w:rPr>
          <w:rFonts w:ascii="Calibri" w:hAnsi="Calibri" w:cs="Calibri"/>
          <w:color w:val="000000"/>
          <w:lang w:val="mi-NZ"/>
        </w:rPr>
        <w:t xml:space="preserve">a new visitor shelter, </w:t>
      </w:r>
      <w:r w:rsidR="0076104F" w:rsidRPr="00E754FF">
        <w:rPr>
          <w:rFonts w:ascii="Calibri" w:hAnsi="Calibri" w:cs="Calibri"/>
          <w:color w:val="000000"/>
          <w:lang w:val="mi-NZ"/>
        </w:rPr>
        <w:t xml:space="preserve">a Schools for Trees planting programme, </w:t>
      </w:r>
      <w:r w:rsidRPr="00E754FF">
        <w:rPr>
          <w:rFonts w:ascii="Calibri" w:hAnsi="Calibri" w:cs="Calibri"/>
          <w:color w:val="000000"/>
          <w:lang w:val="mi-NZ"/>
        </w:rPr>
        <w:t>public toilets, car parking, upgrading and build</w:t>
      </w:r>
      <w:r w:rsidR="0076104F" w:rsidRPr="00E754FF">
        <w:rPr>
          <w:rFonts w:ascii="Calibri" w:hAnsi="Calibri" w:cs="Calibri"/>
          <w:color w:val="000000"/>
          <w:lang w:val="mi-NZ"/>
        </w:rPr>
        <w:t xml:space="preserve">ing </w:t>
      </w:r>
      <w:r w:rsidRPr="00E754FF">
        <w:rPr>
          <w:rFonts w:ascii="Calibri" w:hAnsi="Calibri" w:cs="Calibri"/>
          <w:color w:val="000000"/>
          <w:lang w:val="mi-NZ"/>
        </w:rPr>
        <w:t xml:space="preserve">new walking and cycling trails, upgrading the </w:t>
      </w:r>
      <w:r w:rsidR="0076104F" w:rsidRPr="00E754FF">
        <w:rPr>
          <w:rFonts w:ascii="Calibri" w:hAnsi="Calibri" w:cs="Calibri"/>
          <w:color w:val="000000"/>
          <w:lang w:val="mi-NZ"/>
        </w:rPr>
        <w:t>P</w:t>
      </w:r>
      <w:r w:rsidRPr="00E754FF">
        <w:rPr>
          <w:rFonts w:ascii="Calibri" w:hAnsi="Calibri" w:cs="Calibri"/>
          <w:color w:val="000000"/>
          <w:lang w:val="mi-NZ"/>
        </w:rPr>
        <w:t xml:space="preserve">ark’s water and effluent infrastructure, </w:t>
      </w:r>
      <w:r w:rsidRPr="00E754FF">
        <w:rPr>
          <w:rFonts w:ascii="Calibri" w:hAnsi="Calibri" w:cs="Calibri"/>
          <w:color w:val="000000"/>
        </w:rPr>
        <w:t xml:space="preserve"> and significant felling of dangerous trees.</w:t>
      </w:r>
    </w:p>
    <w:p w14:paraId="45BE01F1" w14:textId="6D301567" w:rsidR="005D6B6A" w:rsidRPr="00E754FF" w:rsidRDefault="0076104F" w:rsidP="005D6B6A">
      <w:pPr>
        <w:pStyle w:val="paragraph"/>
        <w:textAlignment w:val="baseline"/>
        <w:rPr>
          <w:rFonts w:ascii="Calibri" w:hAnsi="Calibri" w:cs="Calibri"/>
          <w:color w:val="000000"/>
        </w:rPr>
      </w:pPr>
      <w:r w:rsidRPr="00E754FF">
        <w:rPr>
          <w:rFonts w:ascii="Calibri" w:hAnsi="Calibri" w:cs="Calibri"/>
          <w:color w:val="000000"/>
        </w:rPr>
        <w:t xml:space="preserve">Nearly 60,000 native trees have been planted in the last four years </w:t>
      </w:r>
      <w:r w:rsidR="00AA36B2" w:rsidRPr="00E754FF">
        <w:rPr>
          <w:rFonts w:ascii="Calibri" w:hAnsi="Calibri" w:cs="Calibri"/>
          <w:color w:val="000000"/>
        </w:rPr>
        <w:t>as part of the Trust’s native revegetation programme.</w:t>
      </w:r>
    </w:p>
    <w:p w14:paraId="6B9E252A" w14:textId="0AD01E89" w:rsidR="005D6B6A" w:rsidRPr="00E754FF" w:rsidRDefault="005D6B6A" w:rsidP="005D6B6A">
      <w:pPr>
        <w:pStyle w:val="paragraph"/>
        <w:textAlignment w:val="baseline"/>
        <w:rPr>
          <w:rFonts w:ascii="Calibri" w:hAnsi="Calibri" w:cs="Calibri"/>
          <w:color w:val="000000"/>
        </w:rPr>
      </w:pPr>
      <w:r w:rsidRPr="00E754FF">
        <w:rPr>
          <w:rFonts w:ascii="Calibri" w:hAnsi="Calibri" w:cs="Calibri"/>
          <w:color w:val="000000"/>
        </w:rPr>
        <w:t>Hastings District Council is also a key funding partner, providing $</w:t>
      </w:r>
      <w:r w:rsidR="00704DC8" w:rsidRPr="00E754FF">
        <w:rPr>
          <w:rFonts w:ascii="Calibri" w:hAnsi="Calibri" w:cs="Calibri"/>
          <w:color w:val="000000"/>
        </w:rPr>
        <w:t>120</w:t>
      </w:r>
      <w:r w:rsidR="002D52A1" w:rsidRPr="00E754FF">
        <w:rPr>
          <w:rFonts w:ascii="Calibri" w:hAnsi="Calibri" w:cs="Calibri"/>
          <w:color w:val="000000"/>
        </w:rPr>
        <w:t>,000</w:t>
      </w:r>
      <w:r w:rsidRPr="00E754FF">
        <w:rPr>
          <w:rFonts w:ascii="Calibri" w:hAnsi="Calibri" w:cs="Calibri"/>
          <w:color w:val="000000"/>
        </w:rPr>
        <w:t xml:space="preserve"> for</w:t>
      </w:r>
      <w:r w:rsidR="00704DC8" w:rsidRPr="00E754FF">
        <w:rPr>
          <w:rFonts w:ascii="Calibri" w:hAnsi="Calibri" w:cs="Calibri"/>
          <w:color w:val="000000"/>
        </w:rPr>
        <w:t xml:space="preserve"> operational</w:t>
      </w:r>
      <w:r w:rsidR="00B54F08">
        <w:rPr>
          <w:rFonts w:ascii="Calibri" w:hAnsi="Calibri" w:cs="Calibri"/>
          <w:color w:val="000000"/>
        </w:rPr>
        <w:t xml:space="preserve"> and </w:t>
      </w:r>
      <w:r w:rsidR="00704DC8" w:rsidRPr="00E754FF">
        <w:rPr>
          <w:rFonts w:ascii="Calibri" w:hAnsi="Calibri" w:cs="Calibri"/>
          <w:color w:val="000000"/>
        </w:rPr>
        <w:t>administration support.</w:t>
      </w:r>
      <w:r w:rsidRPr="00E754FF">
        <w:rPr>
          <w:rFonts w:ascii="Calibri" w:hAnsi="Calibri" w:cs="Calibri"/>
          <w:color w:val="000000"/>
        </w:rPr>
        <w:t xml:space="preserve"> </w:t>
      </w:r>
    </w:p>
    <w:p w14:paraId="26C7EEC2" w14:textId="0AD25872" w:rsidR="005D6B6A" w:rsidRPr="00E754FF" w:rsidRDefault="005D6B6A" w:rsidP="005D6B6A">
      <w:pPr>
        <w:pStyle w:val="paragraph"/>
        <w:textAlignment w:val="baseline"/>
        <w:rPr>
          <w:rFonts w:ascii="Calibri" w:hAnsi="Calibri" w:cs="Calibri"/>
          <w:color w:val="000000"/>
          <w:lang w:val="mi-NZ"/>
        </w:rPr>
      </w:pPr>
      <w:r w:rsidRPr="00E754FF">
        <w:rPr>
          <w:rFonts w:ascii="Calibri" w:hAnsi="Calibri" w:cs="Calibri"/>
          <w:color w:val="000000"/>
        </w:rPr>
        <w:t xml:space="preserve">Bayden Barber, chairman of Ngāti Kahungunu Iwi Inc, and former Te Mata Park trustee, said the regional council has a cultural and social responsibility to protect and enhance </w:t>
      </w:r>
      <w:proofErr w:type="spellStart"/>
      <w:r w:rsidRPr="00E754FF">
        <w:rPr>
          <w:rFonts w:ascii="Calibri" w:hAnsi="Calibri" w:cs="Calibri"/>
          <w:color w:val="000000"/>
        </w:rPr>
        <w:t>Te</w:t>
      </w:r>
      <w:proofErr w:type="spellEnd"/>
      <w:r w:rsidRPr="00E754FF">
        <w:rPr>
          <w:rFonts w:ascii="Calibri" w:hAnsi="Calibri" w:cs="Calibri"/>
          <w:color w:val="000000"/>
        </w:rPr>
        <w:t xml:space="preserve"> </w:t>
      </w:r>
      <w:proofErr w:type="spellStart"/>
      <w:r w:rsidRPr="00E754FF">
        <w:rPr>
          <w:rFonts w:ascii="Calibri" w:hAnsi="Calibri" w:cs="Calibri"/>
          <w:color w:val="000000"/>
        </w:rPr>
        <w:t>Matā</w:t>
      </w:r>
      <w:proofErr w:type="spellEnd"/>
      <w:r w:rsidRPr="00E754FF">
        <w:rPr>
          <w:rFonts w:ascii="Calibri" w:hAnsi="Calibri" w:cs="Calibri"/>
          <w:color w:val="000000"/>
        </w:rPr>
        <w:t xml:space="preserve">, </w:t>
      </w:r>
      <w:proofErr w:type="spellStart"/>
      <w:r w:rsidRPr="00E754FF">
        <w:rPr>
          <w:rFonts w:ascii="Calibri" w:hAnsi="Calibri" w:cs="Calibri"/>
          <w:color w:val="000000"/>
        </w:rPr>
        <w:t>Te</w:t>
      </w:r>
      <w:proofErr w:type="spellEnd"/>
      <w:r w:rsidRPr="00E754FF">
        <w:rPr>
          <w:rFonts w:ascii="Calibri" w:hAnsi="Calibri" w:cs="Calibri"/>
          <w:color w:val="000000"/>
        </w:rPr>
        <w:t xml:space="preserve"> Mata o </w:t>
      </w:r>
      <w:proofErr w:type="spellStart"/>
      <w:r w:rsidRPr="00E754FF">
        <w:rPr>
          <w:rFonts w:ascii="Calibri" w:hAnsi="Calibri" w:cs="Calibri"/>
          <w:color w:val="000000"/>
        </w:rPr>
        <w:t>Rongokako</w:t>
      </w:r>
      <w:proofErr w:type="spellEnd"/>
      <w:r w:rsidRPr="00E754FF">
        <w:rPr>
          <w:rFonts w:ascii="Calibri" w:hAnsi="Calibri" w:cs="Calibri"/>
          <w:color w:val="000000"/>
        </w:rPr>
        <w:t xml:space="preserve">, </w:t>
      </w:r>
      <w:proofErr w:type="spellStart"/>
      <w:r w:rsidRPr="00E754FF">
        <w:rPr>
          <w:rFonts w:ascii="Calibri" w:hAnsi="Calibri" w:cs="Calibri"/>
          <w:color w:val="000000"/>
        </w:rPr>
        <w:t>Te</w:t>
      </w:r>
      <w:proofErr w:type="spellEnd"/>
      <w:r w:rsidRPr="00E754FF">
        <w:rPr>
          <w:rFonts w:ascii="Calibri" w:hAnsi="Calibri" w:cs="Calibri"/>
          <w:color w:val="000000"/>
        </w:rPr>
        <w:t xml:space="preserve"> </w:t>
      </w:r>
      <w:proofErr w:type="spellStart"/>
      <w:r w:rsidRPr="00E754FF">
        <w:rPr>
          <w:rFonts w:ascii="Calibri" w:hAnsi="Calibri" w:cs="Calibri"/>
          <w:color w:val="000000"/>
        </w:rPr>
        <w:t>Karanemanema</w:t>
      </w:r>
      <w:proofErr w:type="spellEnd"/>
      <w:r w:rsidRPr="00E754FF">
        <w:rPr>
          <w:rFonts w:ascii="Calibri" w:hAnsi="Calibri" w:cs="Calibri"/>
          <w:color w:val="000000"/>
        </w:rPr>
        <w:t xml:space="preserve"> o </w:t>
      </w:r>
      <w:proofErr w:type="spellStart"/>
      <w:r w:rsidRPr="00E754FF">
        <w:rPr>
          <w:rFonts w:ascii="Calibri" w:hAnsi="Calibri" w:cs="Calibri"/>
          <w:color w:val="000000"/>
        </w:rPr>
        <w:t>te</w:t>
      </w:r>
      <w:proofErr w:type="spellEnd"/>
      <w:r w:rsidRPr="00E754FF">
        <w:rPr>
          <w:rFonts w:ascii="Calibri" w:hAnsi="Calibri" w:cs="Calibri"/>
          <w:color w:val="000000"/>
        </w:rPr>
        <w:t xml:space="preserve"> Mata o </w:t>
      </w:r>
      <w:proofErr w:type="spellStart"/>
      <w:r w:rsidRPr="00E754FF">
        <w:rPr>
          <w:rFonts w:ascii="Calibri" w:hAnsi="Calibri" w:cs="Calibri"/>
          <w:color w:val="000000"/>
        </w:rPr>
        <w:t>Rongokako</w:t>
      </w:r>
      <w:proofErr w:type="spellEnd"/>
      <w:r w:rsidRPr="00E754FF">
        <w:rPr>
          <w:rFonts w:ascii="Calibri" w:hAnsi="Calibri" w:cs="Calibri"/>
          <w:color w:val="000000"/>
        </w:rPr>
        <w:t xml:space="preserve">.  </w:t>
      </w:r>
    </w:p>
    <w:p w14:paraId="5F1F5042" w14:textId="529F333C" w:rsidR="005D6B6A" w:rsidRPr="00E754FF" w:rsidRDefault="005D6B6A" w:rsidP="005D6B6A">
      <w:pPr>
        <w:pStyle w:val="paragraph"/>
        <w:textAlignment w:val="baseline"/>
        <w:rPr>
          <w:rFonts w:ascii="Calibri" w:hAnsi="Calibri" w:cs="Calibri"/>
          <w:color w:val="000000"/>
        </w:rPr>
      </w:pPr>
      <w:r w:rsidRPr="00E754FF">
        <w:rPr>
          <w:rFonts w:ascii="Calibri" w:hAnsi="Calibri" w:cs="Calibri"/>
          <w:color w:val="000000"/>
        </w:rPr>
        <w:t>“As a community, we are called to protect our maunga (mountain), preserve its wild beauty</w:t>
      </w:r>
      <w:r w:rsidR="00AA36B2" w:rsidRPr="00E754FF">
        <w:rPr>
          <w:rFonts w:ascii="Calibri" w:hAnsi="Calibri" w:cs="Calibri"/>
          <w:color w:val="000000"/>
        </w:rPr>
        <w:t>,</w:t>
      </w:r>
      <w:r w:rsidRPr="00E754FF">
        <w:rPr>
          <w:rFonts w:ascii="Calibri" w:hAnsi="Calibri" w:cs="Calibri"/>
          <w:color w:val="000000"/>
        </w:rPr>
        <w:t xml:space="preserve"> and ensure it is maintained as a sacred place for generations to come. </w:t>
      </w:r>
    </w:p>
    <w:p w14:paraId="1BE06D8A" w14:textId="77777777" w:rsidR="00A34C4B" w:rsidRPr="00E754FF" w:rsidRDefault="00A34C4B" w:rsidP="00EE32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36BFF0C3" w14:textId="57C1E2E1" w:rsidR="00A34C4B" w:rsidRPr="00B54F08" w:rsidRDefault="00A34C4B" w:rsidP="00EE32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B54F08">
        <w:rPr>
          <w:rStyle w:val="normaltextrun"/>
          <w:rFonts w:ascii="Calibri" w:hAnsi="Calibri" w:cs="Calibri"/>
          <w:b/>
          <w:bCs/>
          <w:color w:val="000000"/>
        </w:rPr>
        <w:t xml:space="preserve">Media enquiries: </w:t>
      </w:r>
    </w:p>
    <w:p w14:paraId="4429B924" w14:textId="77777777" w:rsidR="00A34C4B" w:rsidRPr="00B54F08" w:rsidRDefault="00A34C4B" w:rsidP="00EE32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7E1CE0B1" w14:textId="5EE4430E" w:rsidR="00A34C4B" w:rsidRPr="00B54F08" w:rsidRDefault="006F1EA5" w:rsidP="00EE32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B54F08">
        <w:rPr>
          <w:rStyle w:val="normaltextrun"/>
          <w:rFonts w:ascii="Calibri" w:hAnsi="Calibri" w:cs="Calibri"/>
          <w:b/>
          <w:bCs/>
          <w:color w:val="000000"/>
        </w:rPr>
        <w:t>Sarah Austin-Smith</w:t>
      </w:r>
      <w:r w:rsidR="00A34C4B" w:rsidRPr="00B54F08">
        <w:rPr>
          <w:rStyle w:val="normaltextrun"/>
          <w:rFonts w:ascii="Calibri" w:hAnsi="Calibri" w:cs="Calibri"/>
          <w:b/>
          <w:bCs/>
          <w:color w:val="000000"/>
        </w:rPr>
        <w:t>, Manager, Te Mata Park Trust</w:t>
      </w:r>
    </w:p>
    <w:p w14:paraId="7704F5A4" w14:textId="20616F56" w:rsidR="00A34C4B" w:rsidRPr="00B54F08" w:rsidRDefault="00000000" w:rsidP="00EE32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hyperlink r:id="rId9" w:history="1">
        <w:r w:rsidR="006F1EA5" w:rsidRPr="00B54F08">
          <w:rPr>
            <w:rStyle w:val="Hyperlink"/>
            <w:rFonts w:ascii="Calibri" w:hAnsi="Calibri" w:cs="Calibri"/>
            <w:b/>
            <w:bCs/>
          </w:rPr>
          <w:t>sarah@tematapark.co.nz</w:t>
        </w:r>
      </w:hyperlink>
      <w:r w:rsidR="00A34C4B" w:rsidRPr="00B54F08">
        <w:rPr>
          <w:rStyle w:val="normaltextrun"/>
          <w:rFonts w:ascii="Calibri" w:hAnsi="Calibri" w:cs="Calibri"/>
          <w:b/>
          <w:bCs/>
          <w:color w:val="000000"/>
        </w:rPr>
        <w:t xml:space="preserve"> </w:t>
      </w:r>
    </w:p>
    <w:sectPr w:rsidR="00A34C4B" w:rsidRPr="00B54F08" w:rsidSect="001A516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FE3A" w14:textId="77777777" w:rsidR="001A516D" w:rsidRDefault="001A516D" w:rsidP="00FB0723">
      <w:r>
        <w:separator/>
      </w:r>
    </w:p>
  </w:endnote>
  <w:endnote w:type="continuationSeparator" w:id="0">
    <w:p w14:paraId="20CF97F5" w14:textId="77777777" w:rsidR="001A516D" w:rsidRDefault="001A516D" w:rsidP="00FB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1E0A43A" w14:paraId="3D7C8B49" w14:textId="77777777" w:rsidTr="003A2840">
      <w:tc>
        <w:tcPr>
          <w:tcW w:w="3005" w:type="dxa"/>
        </w:tcPr>
        <w:p w14:paraId="62A7ECA4" w14:textId="7C912505" w:rsidR="61E0A43A" w:rsidRDefault="61E0A43A" w:rsidP="003A2840">
          <w:pPr>
            <w:pStyle w:val="Header"/>
            <w:ind w:left="-115"/>
          </w:pPr>
        </w:p>
      </w:tc>
      <w:tc>
        <w:tcPr>
          <w:tcW w:w="3005" w:type="dxa"/>
        </w:tcPr>
        <w:p w14:paraId="339C5231" w14:textId="64C9BADF" w:rsidR="61E0A43A" w:rsidRDefault="61E0A43A" w:rsidP="003A2840">
          <w:pPr>
            <w:pStyle w:val="Header"/>
            <w:jc w:val="center"/>
          </w:pPr>
        </w:p>
      </w:tc>
      <w:tc>
        <w:tcPr>
          <w:tcW w:w="3005" w:type="dxa"/>
        </w:tcPr>
        <w:p w14:paraId="35C4C64E" w14:textId="2D974F0F" w:rsidR="61E0A43A" w:rsidRDefault="61E0A43A" w:rsidP="003A2840">
          <w:pPr>
            <w:pStyle w:val="Header"/>
            <w:ind w:right="-115"/>
            <w:jc w:val="right"/>
          </w:pPr>
        </w:p>
      </w:tc>
    </w:tr>
  </w:tbl>
  <w:p w14:paraId="04ED990C" w14:textId="4B5E1C72" w:rsidR="61E0A43A" w:rsidRDefault="61E0A43A" w:rsidP="003A2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5448" w14:textId="77777777" w:rsidR="001A516D" w:rsidRDefault="001A516D" w:rsidP="00FB0723">
      <w:r>
        <w:separator/>
      </w:r>
    </w:p>
  </w:footnote>
  <w:footnote w:type="continuationSeparator" w:id="0">
    <w:p w14:paraId="08117690" w14:textId="77777777" w:rsidR="001A516D" w:rsidRDefault="001A516D" w:rsidP="00FB0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0C18" w14:textId="4E56FD6E" w:rsidR="00FB0723" w:rsidRDefault="00FB0723" w:rsidP="00FB0723">
    <w:pPr>
      <w:pStyle w:val="Header"/>
      <w:jc w:val="center"/>
    </w:pPr>
    <w:r>
      <w:rPr>
        <w:rFonts w:ascii="Georgia" w:hAnsi="Georgia"/>
        <w:noProof/>
        <w:color w:val="0E0048"/>
        <w:sz w:val="36"/>
      </w:rPr>
      <w:drawing>
        <wp:anchor distT="0" distB="0" distL="114300" distR="114300" simplePos="0" relativeHeight="251658240" behindDoc="1" locked="0" layoutInCell="1" allowOverlap="1" wp14:anchorId="7A45356E" wp14:editId="06FA8B63">
          <wp:simplePos x="0" y="0"/>
          <wp:positionH relativeFrom="column">
            <wp:posOffset>4447540</wp:posOffset>
          </wp:positionH>
          <wp:positionV relativeFrom="paragraph">
            <wp:posOffset>-164465</wp:posOffset>
          </wp:positionV>
          <wp:extent cx="1972310" cy="1000125"/>
          <wp:effectExtent l="0" t="0" r="0" b="3175"/>
          <wp:wrapTight wrapText="bothSides">
            <wp:wrapPolygon edited="0">
              <wp:start x="0" y="0"/>
              <wp:lineTo x="0" y="21394"/>
              <wp:lineTo x="21419" y="21394"/>
              <wp:lineTo x="21419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60E1"/>
    <w:multiLevelType w:val="hybridMultilevel"/>
    <w:tmpl w:val="1FF45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84ECE"/>
    <w:multiLevelType w:val="hybridMultilevel"/>
    <w:tmpl w:val="B1021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C2506"/>
    <w:multiLevelType w:val="hybridMultilevel"/>
    <w:tmpl w:val="2124C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61D31"/>
    <w:multiLevelType w:val="hybridMultilevel"/>
    <w:tmpl w:val="4AC84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F2971"/>
    <w:multiLevelType w:val="hybridMultilevel"/>
    <w:tmpl w:val="015A3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6491D"/>
    <w:multiLevelType w:val="hybridMultilevel"/>
    <w:tmpl w:val="537C2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C1AC5"/>
    <w:multiLevelType w:val="hybridMultilevel"/>
    <w:tmpl w:val="5B1A5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B3815"/>
    <w:multiLevelType w:val="hybridMultilevel"/>
    <w:tmpl w:val="AE3474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53F24"/>
    <w:multiLevelType w:val="hybridMultilevel"/>
    <w:tmpl w:val="3080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F04B6"/>
    <w:multiLevelType w:val="hybridMultilevel"/>
    <w:tmpl w:val="BA5A9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22A56"/>
    <w:multiLevelType w:val="hybridMultilevel"/>
    <w:tmpl w:val="ABE0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904A0"/>
    <w:multiLevelType w:val="hybridMultilevel"/>
    <w:tmpl w:val="5B58D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623100">
    <w:abstractNumId w:val="9"/>
  </w:num>
  <w:num w:numId="2" w16cid:durableId="91050461">
    <w:abstractNumId w:val="5"/>
  </w:num>
  <w:num w:numId="3" w16cid:durableId="458961197">
    <w:abstractNumId w:val="3"/>
  </w:num>
  <w:num w:numId="4" w16cid:durableId="1355494851">
    <w:abstractNumId w:val="1"/>
  </w:num>
  <w:num w:numId="5" w16cid:durableId="335504529">
    <w:abstractNumId w:val="10"/>
  </w:num>
  <w:num w:numId="6" w16cid:durableId="612521148">
    <w:abstractNumId w:val="11"/>
  </w:num>
  <w:num w:numId="7" w16cid:durableId="1244026549">
    <w:abstractNumId w:val="0"/>
  </w:num>
  <w:num w:numId="8" w16cid:durableId="1465000349">
    <w:abstractNumId w:val="2"/>
  </w:num>
  <w:num w:numId="9" w16cid:durableId="1711759448">
    <w:abstractNumId w:val="6"/>
  </w:num>
  <w:num w:numId="10" w16cid:durableId="816145099">
    <w:abstractNumId w:val="7"/>
  </w:num>
  <w:num w:numId="11" w16cid:durableId="1150906827">
    <w:abstractNumId w:val="4"/>
  </w:num>
  <w:num w:numId="12" w16cid:durableId="17306177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09"/>
    <w:rsid w:val="00007971"/>
    <w:rsid w:val="00085E52"/>
    <w:rsid w:val="0009142F"/>
    <w:rsid w:val="000A1C9A"/>
    <w:rsid w:val="000D4BF8"/>
    <w:rsid w:val="000E5797"/>
    <w:rsid w:val="001405E4"/>
    <w:rsid w:val="00163B73"/>
    <w:rsid w:val="001A516D"/>
    <w:rsid w:val="001B3BC0"/>
    <w:rsid w:val="002039AF"/>
    <w:rsid w:val="002055CB"/>
    <w:rsid w:val="002C7822"/>
    <w:rsid w:val="002D52A1"/>
    <w:rsid w:val="00370C96"/>
    <w:rsid w:val="003863F6"/>
    <w:rsid w:val="003A2840"/>
    <w:rsid w:val="003A7960"/>
    <w:rsid w:val="003D4B5A"/>
    <w:rsid w:val="0042478B"/>
    <w:rsid w:val="00474B83"/>
    <w:rsid w:val="004A0F4A"/>
    <w:rsid w:val="004B6350"/>
    <w:rsid w:val="004D79CC"/>
    <w:rsid w:val="00506196"/>
    <w:rsid w:val="00507FEF"/>
    <w:rsid w:val="00583ECC"/>
    <w:rsid w:val="005B06B7"/>
    <w:rsid w:val="005C61E9"/>
    <w:rsid w:val="005D6B6A"/>
    <w:rsid w:val="005F462D"/>
    <w:rsid w:val="00612230"/>
    <w:rsid w:val="00623C34"/>
    <w:rsid w:val="00655F1D"/>
    <w:rsid w:val="006765A2"/>
    <w:rsid w:val="00685EAC"/>
    <w:rsid w:val="006A295F"/>
    <w:rsid w:val="006D58E4"/>
    <w:rsid w:val="006F1EA5"/>
    <w:rsid w:val="00704DC8"/>
    <w:rsid w:val="00731588"/>
    <w:rsid w:val="00746C09"/>
    <w:rsid w:val="0076104F"/>
    <w:rsid w:val="007C10BA"/>
    <w:rsid w:val="00817B94"/>
    <w:rsid w:val="00882354"/>
    <w:rsid w:val="008B3477"/>
    <w:rsid w:val="009750FD"/>
    <w:rsid w:val="009A4ECF"/>
    <w:rsid w:val="009C2A24"/>
    <w:rsid w:val="009F6E0B"/>
    <w:rsid w:val="00A13B00"/>
    <w:rsid w:val="00A34C4B"/>
    <w:rsid w:val="00A34E7A"/>
    <w:rsid w:val="00A40930"/>
    <w:rsid w:val="00AA36B2"/>
    <w:rsid w:val="00B17D29"/>
    <w:rsid w:val="00B235DE"/>
    <w:rsid w:val="00B26471"/>
    <w:rsid w:val="00B54F08"/>
    <w:rsid w:val="00B81877"/>
    <w:rsid w:val="00BA0357"/>
    <w:rsid w:val="00BC4E11"/>
    <w:rsid w:val="00BF6634"/>
    <w:rsid w:val="00C70DB6"/>
    <w:rsid w:val="00CC2E90"/>
    <w:rsid w:val="00CC7ED2"/>
    <w:rsid w:val="00DA3ACD"/>
    <w:rsid w:val="00DA4A7C"/>
    <w:rsid w:val="00DD5C8E"/>
    <w:rsid w:val="00E754FF"/>
    <w:rsid w:val="00E77369"/>
    <w:rsid w:val="00EA20F3"/>
    <w:rsid w:val="00EB0D71"/>
    <w:rsid w:val="00ED1F3D"/>
    <w:rsid w:val="00EE323B"/>
    <w:rsid w:val="00F20EFC"/>
    <w:rsid w:val="00F4402D"/>
    <w:rsid w:val="00F5570D"/>
    <w:rsid w:val="00F65328"/>
    <w:rsid w:val="00F96AF4"/>
    <w:rsid w:val="00FB0723"/>
    <w:rsid w:val="00FD4AB3"/>
    <w:rsid w:val="00FE77F4"/>
    <w:rsid w:val="0148285A"/>
    <w:rsid w:val="01DFE6BE"/>
    <w:rsid w:val="0214D401"/>
    <w:rsid w:val="02E3F8BB"/>
    <w:rsid w:val="04961C5B"/>
    <w:rsid w:val="05AC7420"/>
    <w:rsid w:val="0628C42A"/>
    <w:rsid w:val="0954F2CF"/>
    <w:rsid w:val="09DF5F99"/>
    <w:rsid w:val="0A362607"/>
    <w:rsid w:val="0A8DAC19"/>
    <w:rsid w:val="0B7B2FFA"/>
    <w:rsid w:val="0F09972A"/>
    <w:rsid w:val="0FAAA0D9"/>
    <w:rsid w:val="11030F34"/>
    <w:rsid w:val="124137EC"/>
    <w:rsid w:val="153A7054"/>
    <w:rsid w:val="160D1D64"/>
    <w:rsid w:val="167A368B"/>
    <w:rsid w:val="176F7031"/>
    <w:rsid w:val="17BF4903"/>
    <w:rsid w:val="192C6012"/>
    <w:rsid w:val="19623ACC"/>
    <w:rsid w:val="1977B0E0"/>
    <w:rsid w:val="1A8C85FB"/>
    <w:rsid w:val="1B034FF3"/>
    <w:rsid w:val="1B0A8051"/>
    <w:rsid w:val="1B1FC3FA"/>
    <w:rsid w:val="1B9F976E"/>
    <w:rsid w:val="1D39B218"/>
    <w:rsid w:val="1DD2F7F2"/>
    <w:rsid w:val="1E44E810"/>
    <w:rsid w:val="1EBAE118"/>
    <w:rsid w:val="1F1769C2"/>
    <w:rsid w:val="2054404C"/>
    <w:rsid w:val="20C378DB"/>
    <w:rsid w:val="22C26168"/>
    <w:rsid w:val="24235397"/>
    <w:rsid w:val="24D7F904"/>
    <w:rsid w:val="253FFDC2"/>
    <w:rsid w:val="258B4ED1"/>
    <w:rsid w:val="2741CBFC"/>
    <w:rsid w:val="28496F40"/>
    <w:rsid w:val="286FD867"/>
    <w:rsid w:val="2A796CBE"/>
    <w:rsid w:val="2AE641C3"/>
    <w:rsid w:val="2C821224"/>
    <w:rsid w:val="2ECF7015"/>
    <w:rsid w:val="2F09B7F2"/>
    <w:rsid w:val="2FB9B2E6"/>
    <w:rsid w:val="31558347"/>
    <w:rsid w:val="3161F399"/>
    <w:rsid w:val="31A3F883"/>
    <w:rsid w:val="31C191AB"/>
    <w:rsid w:val="31C1B858"/>
    <w:rsid w:val="3210D68A"/>
    <w:rsid w:val="32F153A8"/>
    <w:rsid w:val="331F4C37"/>
    <w:rsid w:val="335944C3"/>
    <w:rsid w:val="33E5169B"/>
    <w:rsid w:val="343F2E05"/>
    <w:rsid w:val="348D2409"/>
    <w:rsid w:val="36A0D0BB"/>
    <w:rsid w:val="376B2C99"/>
    <w:rsid w:val="397FEBAC"/>
    <w:rsid w:val="3A5FA143"/>
    <w:rsid w:val="3B5B1981"/>
    <w:rsid w:val="3C4C4E93"/>
    <w:rsid w:val="3D29286D"/>
    <w:rsid w:val="3D51B104"/>
    <w:rsid w:val="3E4EDEB7"/>
    <w:rsid w:val="3E856D28"/>
    <w:rsid w:val="3EED8165"/>
    <w:rsid w:val="3F3ACAF0"/>
    <w:rsid w:val="3FB1B134"/>
    <w:rsid w:val="3FD1F96C"/>
    <w:rsid w:val="4022EF77"/>
    <w:rsid w:val="408951C6"/>
    <w:rsid w:val="40AA7146"/>
    <w:rsid w:val="40B9B932"/>
    <w:rsid w:val="411AB73C"/>
    <w:rsid w:val="411D4894"/>
    <w:rsid w:val="415A6C3A"/>
    <w:rsid w:val="424641A7"/>
    <w:rsid w:val="4459EE59"/>
    <w:rsid w:val="45110D64"/>
    <w:rsid w:val="469DCC28"/>
    <w:rsid w:val="470559DA"/>
    <w:rsid w:val="489463AB"/>
    <w:rsid w:val="4AB00D9D"/>
    <w:rsid w:val="4CB57CF5"/>
    <w:rsid w:val="4D67D4CE"/>
    <w:rsid w:val="4F03A52F"/>
    <w:rsid w:val="502334DF"/>
    <w:rsid w:val="5064C0A4"/>
    <w:rsid w:val="509F7590"/>
    <w:rsid w:val="53934E53"/>
    <w:rsid w:val="5496F1DF"/>
    <w:rsid w:val="557470EC"/>
    <w:rsid w:val="5574998E"/>
    <w:rsid w:val="56927663"/>
    <w:rsid w:val="56CAEF15"/>
    <w:rsid w:val="56F92FE5"/>
    <w:rsid w:val="571457A6"/>
    <w:rsid w:val="59CA1725"/>
    <w:rsid w:val="5A521DEA"/>
    <w:rsid w:val="5B65E786"/>
    <w:rsid w:val="5D85554B"/>
    <w:rsid w:val="5E291B3A"/>
    <w:rsid w:val="5FF4638F"/>
    <w:rsid w:val="60B8B44E"/>
    <w:rsid w:val="6163928A"/>
    <w:rsid w:val="61674699"/>
    <w:rsid w:val="61CAD5FB"/>
    <w:rsid w:val="61E0A43A"/>
    <w:rsid w:val="632C0451"/>
    <w:rsid w:val="636EE9EB"/>
    <w:rsid w:val="63B7CA04"/>
    <w:rsid w:val="64F730FC"/>
    <w:rsid w:val="66370366"/>
    <w:rsid w:val="689D1D1D"/>
    <w:rsid w:val="69FAD07F"/>
    <w:rsid w:val="6A3441A6"/>
    <w:rsid w:val="6AF34E37"/>
    <w:rsid w:val="6C800CFB"/>
    <w:rsid w:val="6DA336C2"/>
    <w:rsid w:val="6E08425E"/>
    <w:rsid w:val="6ECE41A2"/>
    <w:rsid w:val="6EE6393A"/>
    <w:rsid w:val="72E537BF"/>
    <w:rsid w:val="72EF4E7F"/>
    <w:rsid w:val="736BF158"/>
    <w:rsid w:val="73D50949"/>
    <w:rsid w:val="741CC2B1"/>
    <w:rsid w:val="74764943"/>
    <w:rsid w:val="74810820"/>
    <w:rsid w:val="749A307D"/>
    <w:rsid w:val="74F0600D"/>
    <w:rsid w:val="76291957"/>
    <w:rsid w:val="76CD0D40"/>
    <w:rsid w:val="77E69FA8"/>
    <w:rsid w:val="78E04125"/>
    <w:rsid w:val="79400CA6"/>
    <w:rsid w:val="7A55C28B"/>
    <w:rsid w:val="7A99A120"/>
    <w:rsid w:val="7AFFAB51"/>
    <w:rsid w:val="7B384494"/>
    <w:rsid w:val="7C0D499E"/>
    <w:rsid w:val="7DC3A4F7"/>
    <w:rsid w:val="7DF0586E"/>
    <w:rsid w:val="7EB0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B117F"/>
  <w15:chartTrackingRefBased/>
  <w15:docId w15:val="{0BD3967F-4B0C-C040-B2D5-4F512BC3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7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723"/>
  </w:style>
  <w:style w:type="paragraph" w:styleId="Footer">
    <w:name w:val="footer"/>
    <w:basedOn w:val="Normal"/>
    <w:link w:val="FooterChar"/>
    <w:uiPriority w:val="99"/>
    <w:unhideWhenUsed/>
    <w:rsid w:val="00FB07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723"/>
  </w:style>
  <w:style w:type="paragraph" w:styleId="ListParagraph">
    <w:name w:val="List Paragraph"/>
    <w:basedOn w:val="Normal"/>
    <w:uiPriority w:val="34"/>
    <w:qFormat/>
    <w:rsid w:val="009A4ECF"/>
    <w:pPr>
      <w:ind w:left="720"/>
      <w:contextualSpacing/>
    </w:pPr>
  </w:style>
  <w:style w:type="table" w:styleId="TableGrid">
    <w:name w:val="Table Grid"/>
    <w:basedOn w:val="TableNormal"/>
    <w:uiPriority w:val="39"/>
    <w:rsid w:val="00DA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1F3D"/>
  </w:style>
  <w:style w:type="paragraph" w:customStyle="1" w:styleId="paragraph">
    <w:name w:val="paragraph"/>
    <w:basedOn w:val="Normal"/>
    <w:rsid w:val="00EE32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EE323B"/>
  </w:style>
  <w:style w:type="character" w:customStyle="1" w:styleId="eop">
    <w:name w:val="eop"/>
    <w:basedOn w:val="DefaultParagraphFont"/>
    <w:rsid w:val="00EE323B"/>
  </w:style>
  <w:style w:type="character" w:styleId="Hyperlink">
    <w:name w:val="Hyperlink"/>
    <w:basedOn w:val="DefaultParagraphFont"/>
    <w:uiPriority w:val="99"/>
    <w:unhideWhenUsed/>
    <w:rsid w:val="00F65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1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0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rah@tematapark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312D798699B49A25177AE8FE50EFE" ma:contentTypeVersion="16" ma:contentTypeDescription="Create a new document." ma:contentTypeScope="" ma:versionID="4ba9947d4494d9362d403f984c8eda3e">
  <xsd:schema xmlns:xsd="http://www.w3.org/2001/XMLSchema" xmlns:xs="http://www.w3.org/2001/XMLSchema" xmlns:p="http://schemas.microsoft.com/office/2006/metadata/properties" xmlns:ns2="dc558c05-4492-4a65-9c1e-9e863e7375d9" xmlns:ns3="ca8b37a7-e025-419d-b0fe-aea5501b5b98" targetNamespace="http://schemas.microsoft.com/office/2006/metadata/properties" ma:root="true" ma:fieldsID="4598062b0c575861c4132d83012e50ad" ns2:_="" ns3:_="">
    <xsd:import namespace="dc558c05-4492-4a65-9c1e-9e863e7375d9"/>
    <xsd:import namespace="ca8b37a7-e025-419d-b0fe-aea5501b5b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58c05-4492-4a65-9c1e-9e863e7375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222523-0da4-4cab-a9f6-306de95c0aa6}" ma:internalName="TaxCatchAll" ma:showField="CatchAllData" ma:web="dc558c05-4492-4a65-9c1e-9e863e737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b37a7-e025-419d-b0fe-aea5501b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a124c3a-9d22-40c2-bfcc-168713e0b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453E0-44E4-4BB4-957B-C3CE89CA1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84CAB-A2F2-4C21-AFEB-78E51F43F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58c05-4492-4a65-9c1e-9e863e7375d9"/>
    <ds:schemaRef ds:uri="ca8b37a7-e025-419d-b0fe-aea5501b5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</dc:creator>
  <cp:keywords/>
  <dc:description/>
  <cp:lastModifiedBy>damon Harvey</cp:lastModifiedBy>
  <cp:revision>6</cp:revision>
  <cp:lastPrinted>2024-01-06T23:15:00Z</cp:lastPrinted>
  <dcterms:created xsi:type="dcterms:W3CDTF">2024-04-10T22:17:00Z</dcterms:created>
  <dcterms:modified xsi:type="dcterms:W3CDTF">2024-04-11T00:27:00Z</dcterms:modified>
</cp:coreProperties>
</file>